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D6772" w14:textId="6B471518" w:rsidR="005F466D" w:rsidRPr="003B666E" w:rsidRDefault="005F466D" w:rsidP="003B666E">
      <w:pPr>
        <w:pStyle w:val="Heading1"/>
        <w:rPr>
          <w:rFonts w:ascii="Times New Roman" w:hAnsi="Times New Roman" w:cs="Times New Roman"/>
          <w:b/>
          <w:bCs/>
          <w:color w:val="auto"/>
          <w:sz w:val="28"/>
          <w:szCs w:val="28"/>
        </w:rPr>
      </w:pPr>
      <w:r w:rsidRPr="003B666E">
        <w:rPr>
          <w:rFonts w:ascii="Times New Roman" w:hAnsi="Times New Roman" w:cs="Times New Roman"/>
          <w:b/>
          <w:bCs/>
          <w:color w:val="auto"/>
          <w:sz w:val="28"/>
          <w:szCs w:val="28"/>
        </w:rPr>
        <w:t>INITIAL TABLE</w:t>
      </w:r>
    </w:p>
    <w:tbl>
      <w:tblPr>
        <w:tblpPr w:leftFromText="180" w:rightFromText="180" w:vertAnchor="text" w:horzAnchor="margin" w:tblpXSpec="center" w:tblpY="1173"/>
        <w:tblW w:w="10170" w:type="dxa"/>
        <w:tblLook w:val="04A0" w:firstRow="1" w:lastRow="0" w:firstColumn="1" w:lastColumn="0" w:noHBand="0" w:noVBand="1"/>
      </w:tblPr>
      <w:tblGrid>
        <w:gridCol w:w="1038"/>
        <w:gridCol w:w="1056"/>
        <w:gridCol w:w="1056"/>
        <w:gridCol w:w="1279"/>
        <w:gridCol w:w="1167"/>
        <w:gridCol w:w="1056"/>
        <w:gridCol w:w="1056"/>
        <w:gridCol w:w="1056"/>
        <w:gridCol w:w="1056"/>
        <w:gridCol w:w="1056"/>
        <w:gridCol w:w="1056"/>
      </w:tblGrid>
      <w:tr w:rsidR="0068293C" w:rsidRPr="0068293C" w14:paraId="36AFA890" w14:textId="77777777" w:rsidTr="0068293C">
        <w:trPr>
          <w:trHeight w:val="514"/>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EAB84" w14:textId="77777777" w:rsidR="0068293C" w:rsidRPr="0068293C" w:rsidRDefault="0068293C" w:rsidP="0068293C">
            <w:pPr>
              <w:spacing w:after="0" w:line="240" w:lineRule="auto"/>
              <w:rPr>
                <w:rFonts w:ascii="Calibri" w:eastAsia="Times New Roman" w:hAnsi="Calibri" w:cs="Times New Roman"/>
                <w:b/>
                <w:bCs/>
                <w:color w:val="000000"/>
              </w:rPr>
            </w:pPr>
            <w:r w:rsidRPr="0068293C">
              <w:rPr>
                <w:rFonts w:ascii="Calibri" w:eastAsia="Times New Roman" w:hAnsi="Calibri" w:cs="Times New Roman"/>
                <w:b/>
                <w:bCs/>
                <w:color w:val="000000"/>
              </w:rPr>
              <w:t>EBIT/EPS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756E44F"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7638.889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B818032"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7638.889</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14:paraId="521FBB4E"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7638.88889</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26618192"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7638.8889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5B4768A"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7638.889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7343DF5"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7638.889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A39D831"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7638.889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82790C4"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7638.889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0E9752F"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7638.889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7417EF0"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7638.889</w:t>
            </w:r>
          </w:p>
        </w:tc>
      </w:tr>
    </w:tbl>
    <w:p w14:paraId="5AEBFE15" w14:textId="3C24B99D" w:rsidR="00C84248" w:rsidRDefault="005F466D" w:rsidP="005F466D">
      <w:pPr>
        <w:spacing w:line="480" w:lineRule="auto"/>
        <w:rPr>
          <w:rFonts w:ascii="Times New Roman" w:hAnsi="Times New Roman" w:cs="Times New Roman"/>
          <w:sz w:val="24"/>
          <w:szCs w:val="24"/>
        </w:rPr>
      </w:pPr>
      <w:r w:rsidRPr="0068293C">
        <w:rPr>
          <w:rFonts w:ascii="Times New Roman" w:hAnsi="Times New Roman" w:cs="Times New Roman"/>
          <w:sz w:val="24"/>
          <w:szCs w:val="24"/>
        </w:rPr>
        <w:t>In the first table addition of the 4.5% and 6.5% interest on bonds was added but no change to the number of shares was altered</w:t>
      </w:r>
    </w:p>
    <w:p w14:paraId="67F19EB7" w14:textId="055201B3" w:rsidR="0068293C" w:rsidRPr="0068293C" w:rsidRDefault="0068293C" w:rsidP="005F466D">
      <w:pPr>
        <w:spacing w:line="480" w:lineRule="auto"/>
        <w:rPr>
          <w:rFonts w:ascii="Times New Roman" w:hAnsi="Times New Roman" w:cs="Times New Roman"/>
          <w:b/>
          <w:bCs/>
          <w:i/>
          <w:iCs/>
          <w:sz w:val="24"/>
          <w:szCs w:val="24"/>
        </w:rPr>
      </w:pPr>
      <w:r w:rsidRPr="0068293C">
        <w:rPr>
          <w:rFonts w:ascii="Times New Roman" w:hAnsi="Times New Roman" w:cs="Times New Roman"/>
          <w:b/>
          <w:bCs/>
          <w:i/>
          <w:iCs/>
          <w:sz w:val="24"/>
          <w:szCs w:val="24"/>
        </w:rPr>
        <w:t xml:space="preserve"> Showed constant return over 10 year should everything remain the same. Best compared to both buying of shares back</w:t>
      </w:r>
    </w:p>
    <w:p w14:paraId="458E1646" w14:textId="04EA2E71" w:rsidR="005F466D" w:rsidRPr="003B666E" w:rsidRDefault="005F466D" w:rsidP="005F466D">
      <w:pPr>
        <w:spacing w:line="480" w:lineRule="auto"/>
        <w:rPr>
          <w:rFonts w:ascii="Times New Roman" w:hAnsi="Times New Roman" w:cs="Times New Roman"/>
          <w:b/>
          <w:bCs/>
          <w:sz w:val="24"/>
          <w:szCs w:val="24"/>
          <w:u w:val="single"/>
        </w:rPr>
      </w:pPr>
      <w:r w:rsidRPr="003B666E">
        <w:rPr>
          <w:rFonts w:ascii="Times New Roman" w:hAnsi="Times New Roman" w:cs="Times New Roman"/>
          <w:b/>
          <w:bCs/>
          <w:sz w:val="24"/>
          <w:szCs w:val="24"/>
          <w:u w:val="single"/>
        </w:rPr>
        <w:t>SECOND TABLE (reduced rate of 25% with 3000000 purchased shares</w:t>
      </w:r>
    </w:p>
    <w:p w14:paraId="42954F8E" w14:textId="54E1D191" w:rsidR="005F466D" w:rsidRPr="0068293C" w:rsidRDefault="005F466D" w:rsidP="005F466D">
      <w:pPr>
        <w:spacing w:line="480" w:lineRule="auto"/>
        <w:rPr>
          <w:rFonts w:ascii="Times New Roman" w:hAnsi="Times New Roman" w:cs="Times New Roman"/>
          <w:sz w:val="24"/>
          <w:szCs w:val="24"/>
        </w:rPr>
      </w:pPr>
      <w:r w:rsidRPr="0068293C">
        <w:rPr>
          <w:rFonts w:ascii="Times New Roman" w:hAnsi="Times New Roman" w:cs="Times New Roman"/>
          <w:sz w:val="24"/>
          <w:szCs w:val="24"/>
        </w:rPr>
        <w:t xml:space="preserve">In the second </w:t>
      </w:r>
      <w:r w:rsidRPr="0068293C">
        <w:rPr>
          <w:rFonts w:ascii="Times New Roman" w:hAnsi="Times New Roman" w:cs="Times New Roman"/>
          <w:sz w:val="24"/>
          <w:szCs w:val="24"/>
        </w:rPr>
        <w:t>table the</w:t>
      </w:r>
      <w:r w:rsidRPr="0068293C">
        <w:rPr>
          <w:rFonts w:ascii="Times New Roman" w:hAnsi="Times New Roman" w:cs="Times New Roman"/>
          <w:sz w:val="24"/>
          <w:szCs w:val="24"/>
        </w:rPr>
        <w:t xml:space="preserve"> number of </w:t>
      </w:r>
      <w:r w:rsidRPr="0068293C">
        <w:rPr>
          <w:rFonts w:ascii="Times New Roman" w:hAnsi="Times New Roman" w:cs="Times New Roman"/>
          <w:sz w:val="24"/>
          <w:szCs w:val="24"/>
        </w:rPr>
        <w:t>interests</w:t>
      </w:r>
      <w:r w:rsidRPr="0068293C">
        <w:rPr>
          <w:rFonts w:ascii="Times New Roman" w:hAnsi="Times New Roman" w:cs="Times New Roman"/>
          <w:sz w:val="24"/>
          <w:szCs w:val="24"/>
        </w:rPr>
        <w:t xml:space="preserve"> changed from the second year to the 10th at a rate of (6%) also did the bound price from 7000000 to 8500000. The figures remained unchanged for the first year. The number of shares declined from the second year to the 10 year by 55000000- (3000000/2.8) per annum</w:t>
      </w:r>
      <w:r w:rsidR="003B666E" w:rsidRPr="0068293C">
        <w:rPr>
          <w:rFonts w:ascii="Times New Roman" w:hAnsi="Times New Roman" w:cs="Times New Roman"/>
          <w:sz w:val="24"/>
          <w:szCs w:val="24"/>
        </w:rPr>
        <w:t>.</w:t>
      </w:r>
    </w:p>
    <w:p w14:paraId="788DDDB0" w14:textId="77777777" w:rsidR="0068293C" w:rsidRPr="0068293C" w:rsidRDefault="0068293C" w:rsidP="003B666E">
      <w:pPr>
        <w:spacing w:line="480" w:lineRule="auto"/>
        <w:jc w:val="both"/>
        <w:rPr>
          <w:rFonts w:ascii="Times New Roman" w:hAnsi="Times New Roman" w:cs="Times New Roman"/>
          <w:b/>
          <w:bCs/>
          <w:sz w:val="24"/>
          <w:szCs w:val="24"/>
        </w:rPr>
      </w:pPr>
      <w:r w:rsidRPr="0068293C">
        <w:rPr>
          <w:rFonts w:ascii="Times New Roman" w:hAnsi="Times New Roman" w:cs="Times New Roman"/>
          <w:b/>
          <w:bCs/>
          <w:sz w:val="24"/>
          <w:szCs w:val="24"/>
        </w:rPr>
        <w:t>Questions One</w:t>
      </w:r>
    </w:p>
    <w:p w14:paraId="49489D2F" w14:textId="0F6BB874" w:rsidR="003B666E" w:rsidRDefault="003B666E" w:rsidP="003B666E">
      <w:pPr>
        <w:spacing w:line="480" w:lineRule="auto"/>
        <w:jc w:val="both"/>
        <w:rPr>
          <w:rFonts w:ascii="Times New Roman" w:hAnsi="Times New Roman" w:cs="Times New Roman"/>
          <w:sz w:val="24"/>
          <w:szCs w:val="24"/>
        </w:rPr>
      </w:pPr>
      <w:r w:rsidRPr="003B666E">
        <w:rPr>
          <w:rFonts w:ascii="Times New Roman" w:hAnsi="Times New Roman" w:cs="Times New Roman"/>
          <w:sz w:val="24"/>
          <w:szCs w:val="24"/>
        </w:rPr>
        <w:t xml:space="preserve">determine the impact of these actions on EBIT / EPS over the next 10 years and recommend no buyback or the buyback of $3,000,000 worth of shares from an EBIT / EPS </w:t>
      </w:r>
      <w:r w:rsidR="0068293C" w:rsidRPr="003B666E">
        <w:rPr>
          <w:rFonts w:ascii="Times New Roman" w:hAnsi="Times New Roman" w:cs="Times New Roman"/>
          <w:sz w:val="24"/>
          <w:szCs w:val="24"/>
        </w:rPr>
        <w:t>perspective.</w:t>
      </w:r>
      <w:r w:rsidR="0068293C">
        <w:rPr>
          <w:rFonts w:ascii="Times New Roman" w:hAnsi="Times New Roman" w:cs="Times New Roman"/>
          <w:sz w:val="24"/>
          <w:szCs w:val="24"/>
        </w:rPr>
        <w:t xml:space="preserve"> </w:t>
      </w:r>
      <w:r w:rsidR="0068293C" w:rsidRPr="003B666E">
        <w:rPr>
          <w:rFonts w:ascii="Times New Roman" w:hAnsi="Times New Roman" w:cs="Times New Roman"/>
          <w:sz w:val="24"/>
          <w:szCs w:val="24"/>
        </w:rPr>
        <w:t>You</w:t>
      </w:r>
      <w:r w:rsidRPr="003B666E">
        <w:rPr>
          <w:rFonts w:ascii="Times New Roman" w:hAnsi="Times New Roman" w:cs="Times New Roman"/>
          <w:sz w:val="24"/>
          <w:szCs w:val="24"/>
        </w:rPr>
        <w:t xml:space="preserve"> are requested to give your view on the likely impact of the $3,000,000 buyback on RT’s cost of capital.</w:t>
      </w:r>
    </w:p>
    <w:tbl>
      <w:tblPr>
        <w:tblW w:w="11630" w:type="dxa"/>
        <w:tblInd w:w="-1135" w:type="dxa"/>
        <w:tblLook w:val="04A0" w:firstRow="1" w:lastRow="0" w:firstColumn="1" w:lastColumn="0" w:noHBand="0" w:noVBand="1"/>
      </w:tblPr>
      <w:tblGrid>
        <w:gridCol w:w="1375"/>
        <w:gridCol w:w="1056"/>
        <w:gridCol w:w="1056"/>
        <w:gridCol w:w="1120"/>
        <w:gridCol w:w="1167"/>
        <w:gridCol w:w="960"/>
        <w:gridCol w:w="1056"/>
        <w:gridCol w:w="960"/>
        <w:gridCol w:w="960"/>
        <w:gridCol w:w="960"/>
        <w:gridCol w:w="960"/>
      </w:tblGrid>
      <w:tr w:rsidR="0068293C" w:rsidRPr="0068293C" w14:paraId="2EB326D4" w14:textId="77777777" w:rsidTr="0068293C">
        <w:trPr>
          <w:trHeight w:val="300"/>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E437B" w14:textId="77777777" w:rsidR="0068293C" w:rsidRPr="0068293C" w:rsidRDefault="0068293C" w:rsidP="0068293C">
            <w:pPr>
              <w:spacing w:after="0" w:line="240" w:lineRule="auto"/>
              <w:rPr>
                <w:rFonts w:ascii="Calibri" w:eastAsia="Times New Roman" w:hAnsi="Calibri" w:cs="Times New Roman"/>
                <w:b/>
                <w:bCs/>
                <w:color w:val="000000"/>
              </w:rPr>
            </w:pPr>
            <w:r w:rsidRPr="0068293C">
              <w:rPr>
                <w:rFonts w:ascii="Calibri" w:eastAsia="Times New Roman" w:hAnsi="Calibri" w:cs="Times New Roman"/>
                <w:b/>
                <w:bCs/>
                <w:color w:val="000000"/>
              </w:rPr>
              <w:t>EBIT/EPS</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606F84FF"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7638.889</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314E1722"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6150.794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BDA4DCB"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6150</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20E72171"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4661.9048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DFAA478"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3173.81</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7384872D"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1685.714</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3E42C5A7"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197.619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2A57EB2"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-1290.48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1FA4323"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-2778.57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8EE72B4" w14:textId="77777777" w:rsidR="0068293C" w:rsidRPr="0068293C" w:rsidRDefault="0068293C" w:rsidP="0068293C">
            <w:pPr>
              <w:spacing w:after="0" w:line="240" w:lineRule="auto"/>
              <w:jc w:val="right"/>
              <w:rPr>
                <w:rFonts w:ascii="Calibri" w:eastAsia="Times New Roman" w:hAnsi="Calibri" w:cs="Times New Roman"/>
                <w:b/>
                <w:bCs/>
                <w:color w:val="000000"/>
              </w:rPr>
            </w:pPr>
            <w:r w:rsidRPr="0068293C">
              <w:rPr>
                <w:rFonts w:ascii="Calibri" w:eastAsia="Times New Roman" w:hAnsi="Calibri" w:cs="Times New Roman"/>
                <w:b/>
                <w:bCs/>
                <w:color w:val="000000"/>
              </w:rPr>
              <w:t>-4266.67</w:t>
            </w:r>
          </w:p>
        </w:tc>
      </w:tr>
    </w:tbl>
    <w:p w14:paraId="17A6A0BE" w14:textId="4E03D796" w:rsidR="0068293C" w:rsidRPr="00A619D0" w:rsidRDefault="0068293C" w:rsidP="0068293C">
      <w:pPr>
        <w:spacing w:line="480" w:lineRule="auto"/>
        <w:jc w:val="both"/>
        <w:rPr>
          <w:rFonts w:ascii="Times New Roman" w:hAnsi="Times New Roman" w:cs="Times New Roman"/>
          <w:b/>
          <w:bCs/>
          <w:i/>
          <w:iCs/>
          <w:sz w:val="24"/>
          <w:szCs w:val="24"/>
        </w:rPr>
      </w:pPr>
      <w:r w:rsidRPr="00A619D0">
        <w:rPr>
          <w:rFonts w:ascii="Times New Roman" w:hAnsi="Times New Roman" w:cs="Times New Roman"/>
          <w:b/>
          <w:bCs/>
          <w:i/>
          <w:iCs/>
          <w:sz w:val="24"/>
          <w:szCs w:val="24"/>
        </w:rPr>
        <w:t xml:space="preserve">Buy back should be recommended for the first </w:t>
      </w:r>
      <w:r>
        <w:rPr>
          <w:rFonts w:ascii="Times New Roman" w:hAnsi="Times New Roman" w:cs="Times New Roman"/>
          <w:b/>
          <w:bCs/>
          <w:i/>
          <w:iCs/>
          <w:sz w:val="24"/>
          <w:szCs w:val="24"/>
        </w:rPr>
        <w:t xml:space="preserve">six </w:t>
      </w:r>
      <w:r w:rsidRPr="00A619D0">
        <w:rPr>
          <w:rFonts w:ascii="Times New Roman" w:hAnsi="Times New Roman" w:cs="Times New Roman"/>
          <w:b/>
          <w:bCs/>
          <w:i/>
          <w:iCs/>
          <w:sz w:val="24"/>
          <w:szCs w:val="24"/>
        </w:rPr>
        <w:t>years and then stopped or the shares would lose value thereafter</w:t>
      </w:r>
      <w:r>
        <w:rPr>
          <w:rFonts w:ascii="Times New Roman" w:hAnsi="Times New Roman" w:cs="Times New Roman"/>
          <w:b/>
          <w:bCs/>
          <w:i/>
          <w:iCs/>
          <w:sz w:val="24"/>
          <w:szCs w:val="24"/>
        </w:rPr>
        <w:t>. A negative value of -</w:t>
      </w:r>
      <w:r>
        <w:rPr>
          <w:rFonts w:ascii="Times New Roman" w:hAnsi="Times New Roman" w:cs="Times New Roman"/>
          <w:b/>
          <w:bCs/>
          <w:i/>
          <w:iCs/>
          <w:sz w:val="24"/>
          <w:szCs w:val="24"/>
        </w:rPr>
        <w:t>1290.49</w:t>
      </w:r>
      <w:r>
        <w:rPr>
          <w:rFonts w:ascii="Times New Roman" w:hAnsi="Times New Roman" w:cs="Times New Roman"/>
          <w:b/>
          <w:bCs/>
          <w:i/>
          <w:iCs/>
          <w:sz w:val="24"/>
          <w:szCs w:val="24"/>
        </w:rPr>
        <w:t xml:space="preserve"> shows no payout was made. It would be better for the company to maintain their initial year perception which yielded constant return</w:t>
      </w:r>
      <w:r>
        <w:rPr>
          <w:rFonts w:ascii="Times New Roman" w:hAnsi="Times New Roman" w:cs="Times New Roman"/>
          <w:b/>
          <w:bCs/>
          <w:i/>
          <w:iCs/>
          <w:sz w:val="24"/>
          <w:szCs w:val="24"/>
        </w:rPr>
        <w:t>.</w:t>
      </w:r>
    </w:p>
    <w:p w14:paraId="7AD600CB" w14:textId="77777777" w:rsidR="00A619D0" w:rsidRPr="005F466D" w:rsidRDefault="00A619D0" w:rsidP="003B666E">
      <w:pPr>
        <w:spacing w:line="480" w:lineRule="auto"/>
        <w:jc w:val="both"/>
        <w:rPr>
          <w:rFonts w:ascii="Times New Roman" w:hAnsi="Times New Roman" w:cs="Times New Roman"/>
          <w:sz w:val="24"/>
          <w:szCs w:val="24"/>
        </w:rPr>
      </w:pPr>
    </w:p>
    <w:p w14:paraId="0ECF7F05" w14:textId="77777777" w:rsidR="003B666E" w:rsidRDefault="003B666E" w:rsidP="003B666E">
      <w:pPr>
        <w:spacing w:line="480" w:lineRule="auto"/>
        <w:jc w:val="both"/>
        <w:rPr>
          <w:rFonts w:ascii="Times New Roman" w:hAnsi="Times New Roman" w:cs="Times New Roman"/>
          <w:sz w:val="24"/>
          <w:szCs w:val="24"/>
        </w:rPr>
      </w:pPr>
    </w:p>
    <w:p w14:paraId="0AA6981B" w14:textId="77777777" w:rsidR="003B666E" w:rsidRPr="003B666E" w:rsidRDefault="003B666E" w:rsidP="003B666E">
      <w:pPr>
        <w:spacing w:line="480" w:lineRule="auto"/>
        <w:jc w:val="both"/>
        <w:rPr>
          <w:rFonts w:ascii="Times New Roman" w:hAnsi="Times New Roman" w:cs="Times New Roman"/>
          <w:sz w:val="24"/>
          <w:szCs w:val="24"/>
        </w:rPr>
      </w:pPr>
    </w:p>
    <w:p w14:paraId="763193B8" w14:textId="77777777" w:rsidR="003B666E" w:rsidRDefault="003B666E" w:rsidP="005F466D">
      <w:pPr>
        <w:spacing w:line="480" w:lineRule="auto"/>
      </w:pPr>
    </w:p>
    <w:p w14:paraId="52CAEE59" w14:textId="243D3F44" w:rsidR="005F466D" w:rsidRPr="003B666E" w:rsidRDefault="005F466D" w:rsidP="003B666E">
      <w:pPr>
        <w:pStyle w:val="Heading1"/>
        <w:rPr>
          <w:rFonts w:ascii="Times New Roman" w:hAnsi="Times New Roman" w:cs="Times New Roman"/>
          <w:b/>
          <w:bCs/>
          <w:color w:val="auto"/>
          <w:sz w:val="24"/>
          <w:szCs w:val="24"/>
          <w:u w:val="single"/>
        </w:rPr>
      </w:pPr>
      <w:r w:rsidRPr="003B666E">
        <w:rPr>
          <w:rFonts w:ascii="Times New Roman" w:hAnsi="Times New Roman" w:cs="Times New Roman"/>
          <w:b/>
          <w:bCs/>
          <w:color w:val="auto"/>
          <w:sz w:val="24"/>
          <w:szCs w:val="24"/>
          <w:u w:val="single"/>
        </w:rPr>
        <w:t>THIRD</w:t>
      </w:r>
      <w:r w:rsidRPr="003B666E">
        <w:rPr>
          <w:rFonts w:ascii="Times New Roman" w:hAnsi="Times New Roman" w:cs="Times New Roman"/>
          <w:b/>
          <w:bCs/>
          <w:color w:val="auto"/>
          <w:sz w:val="24"/>
          <w:szCs w:val="24"/>
          <w:u w:val="single"/>
        </w:rPr>
        <w:t xml:space="preserve"> TABLE (</w:t>
      </w:r>
      <w:r w:rsidRPr="003B666E">
        <w:rPr>
          <w:rFonts w:ascii="Times New Roman" w:hAnsi="Times New Roman" w:cs="Times New Roman"/>
          <w:b/>
          <w:bCs/>
          <w:color w:val="auto"/>
          <w:sz w:val="24"/>
          <w:szCs w:val="24"/>
          <w:u w:val="single"/>
        </w:rPr>
        <w:t xml:space="preserve">increased </w:t>
      </w:r>
      <w:r w:rsidRPr="003B666E">
        <w:rPr>
          <w:rFonts w:ascii="Times New Roman" w:hAnsi="Times New Roman" w:cs="Times New Roman"/>
          <w:b/>
          <w:bCs/>
          <w:color w:val="auto"/>
          <w:sz w:val="24"/>
          <w:szCs w:val="24"/>
          <w:u w:val="single"/>
        </w:rPr>
        <w:t xml:space="preserve">rate of 25% with </w:t>
      </w:r>
      <w:r w:rsidRPr="003B666E">
        <w:rPr>
          <w:rFonts w:ascii="Times New Roman" w:hAnsi="Times New Roman" w:cs="Times New Roman"/>
          <w:b/>
          <w:bCs/>
          <w:color w:val="auto"/>
          <w:sz w:val="24"/>
          <w:szCs w:val="24"/>
          <w:u w:val="single"/>
        </w:rPr>
        <w:t>5</w:t>
      </w:r>
      <w:r w:rsidRPr="003B666E">
        <w:rPr>
          <w:rFonts w:ascii="Times New Roman" w:hAnsi="Times New Roman" w:cs="Times New Roman"/>
          <w:b/>
          <w:bCs/>
          <w:color w:val="auto"/>
          <w:sz w:val="24"/>
          <w:szCs w:val="24"/>
          <w:u w:val="single"/>
        </w:rPr>
        <w:t>000000 purchased shares</w:t>
      </w:r>
      <w:r w:rsidRPr="003B666E">
        <w:rPr>
          <w:rFonts w:ascii="Times New Roman" w:hAnsi="Times New Roman" w:cs="Times New Roman"/>
          <w:b/>
          <w:bCs/>
          <w:color w:val="auto"/>
          <w:sz w:val="24"/>
          <w:szCs w:val="24"/>
          <w:u w:val="single"/>
        </w:rPr>
        <w:t>)</w:t>
      </w:r>
    </w:p>
    <w:p w14:paraId="23C7DB02" w14:textId="6522AB23" w:rsidR="005F466D" w:rsidRPr="003B666E" w:rsidRDefault="005F466D" w:rsidP="005F466D">
      <w:pPr>
        <w:spacing w:line="480" w:lineRule="auto"/>
        <w:jc w:val="both"/>
        <w:rPr>
          <w:rFonts w:ascii="Times New Roman" w:hAnsi="Times New Roman" w:cs="Times New Roman"/>
          <w:sz w:val="24"/>
          <w:szCs w:val="24"/>
        </w:rPr>
      </w:pPr>
      <w:r w:rsidRPr="003B666E">
        <w:rPr>
          <w:rFonts w:ascii="Times New Roman" w:hAnsi="Times New Roman" w:cs="Times New Roman"/>
          <w:sz w:val="24"/>
          <w:szCs w:val="24"/>
        </w:rPr>
        <w:t xml:space="preserve">In the third </w:t>
      </w:r>
      <w:r w:rsidRPr="003B666E">
        <w:rPr>
          <w:rFonts w:ascii="Times New Roman" w:hAnsi="Times New Roman" w:cs="Times New Roman"/>
          <w:sz w:val="24"/>
          <w:szCs w:val="24"/>
        </w:rPr>
        <w:t>table the</w:t>
      </w:r>
      <w:r w:rsidRPr="003B666E">
        <w:rPr>
          <w:rFonts w:ascii="Times New Roman" w:hAnsi="Times New Roman" w:cs="Times New Roman"/>
          <w:sz w:val="24"/>
          <w:szCs w:val="24"/>
        </w:rPr>
        <w:t xml:space="preserve"> number of </w:t>
      </w:r>
      <w:r w:rsidRPr="003B666E">
        <w:rPr>
          <w:rFonts w:ascii="Times New Roman" w:hAnsi="Times New Roman" w:cs="Times New Roman"/>
          <w:sz w:val="24"/>
          <w:szCs w:val="24"/>
        </w:rPr>
        <w:t>interests</w:t>
      </w:r>
      <w:r w:rsidRPr="003B666E">
        <w:rPr>
          <w:rFonts w:ascii="Times New Roman" w:hAnsi="Times New Roman" w:cs="Times New Roman"/>
          <w:sz w:val="24"/>
          <w:szCs w:val="24"/>
        </w:rPr>
        <w:t xml:space="preserve"> changed from the second year to the 10th at a rate of (6%) also did the bound price from 7000000 to 8500000. The figures remained unchanged for the first year. The number of shares declined from the second year to the 10 year by 55000000- (5000000/2.8) per annum</w:t>
      </w:r>
    </w:p>
    <w:p w14:paraId="214A8E22" w14:textId="3A3DD8F9" w:rsidR="00A619D0" w:rsidRPr="00A619D0" w:rsidRDefault="00A619D0" w:rsidP="003B666E">
      <w:pPr>
        <w:spacing w:line="480" w:lineRule="auto"/>
        <w:jc w:val="both"/>
        <w:rPr>
          <w:rFonts w:ascii="Times New Roman" w:hAnsi="Times New Roman" w:cs="Times New Roman"/>
          <w:b/>
          <w:bCs/>
          <w:sz w:val="24"/>
          <w:szCs w:val="24"/>
        </w:rPr>
      </w:pPr>
      <w:r w:rsidRPr="00A619D0">
        <w:rPr>
          <w:rFonts w:ascii="Times New Roman" w:hAnsi="Times New Roman" w:cs="Times New Roman"/>
          <w:b/>
          <w:bCs/>
          <w:sz w:val="24"/>
          <w:szCs w:val="24"/>
        </w:rPr>
        <w:t>Question two</w:t>
      </w:r>
    </w:p>
    <w:p w14:paraId="7E0C3EF8" w14:textId="66CAAA95" w:rsidR="003B666E" w:rsidRDefault="003B666E" w:rsidP="003B666E">
      <w:pPr>
        <w:spacing w:line="480" w:lineRule="auto"/>
        <w:jc w:val="both"/>
        <w:rPr>
          <w:rFonts w:ascii="Times New Roman" w:hAnsi="Times New Roman" w:cs="Times New Roman"/>
          <w:sz w:val="24"/>
          <w:szCs w:val="24"/>
        </w:rPr>
      </w:pPr>
      <w:r w:rsidRPr="003B666E">
        <w:rPr>
          <w:rFonts w:ascii="Times New Roman" w:hAnsi="Times New Roman" w:cs="Times New Roman"/>
          <w:sz w:val="24"/>
          <w:szCs w:val="24"/>
        </w:rPr>
        <w:t xml:space="preserve">determine the impact of these actions on EBIT / EPS over the next 10 years and recommend no buyback or the buyback of $5,000,000 worth of shares from an EBIT / EPS </w:t>
      </w:r>
      <w:r w:rsidR="0068293C" w:rsidRPr="003B666E">
        <w:rPr>
          <w:rFonts w:ascii="Times New Roman" w:hAnsi="Times New Roman" w:cs="Times New Roman"/>
          <w:sz w:val="24"/>
          <w:szCs w:val="24"/>
        </w:rPr>
        <w:t>perspective. You</w:t>
      </w:r>
      <w:r w:rsidRPr="003B666E">
        <w:rPr>
          <w:rFonts w:ascii="Times New Roman" w:hAnsi="Times New Roman" w:cs="Times New Roman"/>
          <w:sz w:val="24"/>
          <w:szCs w:val="24"/>
        </w:rPr>
        <w:t xml:space="preserve"> are requested to give your view on the likely impact of the $3,000,000 buyback or $5,000,000 buyback on RT’s cost of capital.</w:t>
      </w:r>
    </w:p>
    <w:tbl>
      <w:tblPr>
        <w:tblW w:w="8884" w:type="dxa"/>
        <w:tblInd w:w="-1387" w:type="dxa"/>
        <w:tblLook w:val="04A0" w:firstRow="1" w:lastRow="0" w:firstColumn="1" w:lastColumn="0" w:noHBand="0" w:noVBand="1"/>
      </w:tblPr>
      <w:tblGrid>
        <w:gridCol w:w="1384"/>
        <w:gridCol w:w="997"/>
        <w:gridCol w:w="893"/>
        <w:gridCol w:w="1205"/>
        <w:gridCol w:w="998"/>
        <w:gridCol w:w="894"/>
        <w:gridCol w:w="790"/>
        <w:gridCol w:w="894"/>
        <w:gridCol w:w="894"/>
        <w:gridCol w:w="894"/>
        <w:gridCol w:w="894"/>
      </w:tblGrid>
      <w:tr w:rsidR="00A619D0" w:rsidRPr="003B666E" w14:paraId="5D5CECB6" w14:textId="77777777" w:rsidTr="00296A77">
        <w:trPr>
          <w:trHeight w:val="347"/>
        </w:trPr>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07905" w14:textId="77777777" w:rsidR="00A619D0" w:rsidRPr="003B666E" w:rsidRDefault="00A619D0" w:rsidP="00296A77">
            <w:pPr>
              <w:spacing w:after="0" w:line="240" w:lineRule="auto"/>
              <w:rPr>
                <w:rFonts w:ascii="Calibri" w:eastAsia="Times New Roman" w:hAnsi="Calibri" w:cs="Times New Roman"/>
                <w:b/>
                <w:bCs/>
                <w:color w:val="000000"/>
              </w:rPr>
            </w:pPr>
            <w:r w:rsidRPr="003B666E">
              <w:rPr>
                <w:rFonts w:ascii="Calibri" w:eastAsia="Times New Roman" w:hAnsi="Calibri" w:cs="Times New Roman"/>
                <w:b/>
                <w:bCs/>
                <w:color w:val="000000"/>
              </w:rPr>
              <w:t>EBIT/EPS</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69BF9FF6" w14:textId="77777777" w:rsidR="00A619D0" w:rsidRPr="003B666E" w:rsidRDefault="00A619D0" w:rsidP="00296A77">
            <w:pPr>
              <w:spacing w:after="0" w:line="240" w:lineRule="auto"/>
              <w:jc w:val="right"/>
              <w:rPr>
                <w:rFonts w:ascii="Calibri" w:eastAsia="Times New Roman" w:hAnsi="Calibri" w:cs="Times New Roman"/>
                <w:b/>
                <w:bCs/>
              </w:rPr>
            </w:pPr>
            <w:r w:rsidRPr="003B666E">
              <w:rPr>
                <w:rFonts w:ascii="Calibri" w:eastAsia="Times New Roman" w:hAnsi="Calibri" w:cs="Times New Roman"/>
                <w:b/>
                <w:bCs/>
              </w:rPr>
              <w:t>7638.889</w:t>
            </w:r>
          </w:p>
        </w:tc>
        <w:tc>
          <w:tcPr>
            <w:tcW w:w="705" w:type="dxa"/>
            <w:tcBorders>
              <w:top w:val="single" w:sz="4" w:space="0" w:color="auto"/>
              <w:left w:val="nil"/>
              <w:bottom w:val="single" w:sz="4" w:space="0" w:color="auto"/>
              <w:right w:val="single" w:sz="4" w:space="0" w:color="auto"/>
            </w:tcBorders>
            <w:shd w:val="clear" w:color="000000" w:fill="FFFFFF"/>
            <w:noWrap/>
            <w:vAlign w:val="bottom"/>
            <w:hideMark/>
          </w:tcPr>
          <w:p w14:paraId="776896D3" w14:textId="77777777" w:rsidR="00A619D0" w:rsidRPr="003B666E" w:rsidRDefault="00A619D0" w:rsidP="00296A77">
            <w:pPr>
              <w:spacing w:after="0" w:line="240" w:lineRule="auto"/>
              <w:jc w:val="right"/>
              <w:rPr>
                <w:rFonts w:ascii="Calibri" w:eastAsia="Times New Roman" w:hAnsi="Calibri" w:cs="Times New Roman"/>
                <w:b/>
                <w:bCs/>
              </w:rPr>
            </w:pPr>
            <w:r w:rsidRPr="003B666E">
              <w:rPr>
                <w:rFonts w:ascii="Calibri" w:eastAsia="Times New Roman" w:hAnsi="Calibri" w:cs="Times New Roman"/>
                <w:b/>
                <w:bCs/>
              </w:rPr>
              <w:t>5158.73</w:t>
            </w:r>
          </w:p>
        </w:tc>
        <w:tc>
          <w:tcPr>
            <w:tcW w:w="939" w:type="dxa"/>
            <w:tcBorders>
              <w:top w:val="single" w:sz="4" w:space="0" w:color="auto"/>
              <w:left w:val="nil"/>
              <w:bottom w:val="single" w:sz="4" w:space="0" w:color="auto"/>
              <w:right w:val="single" w:sz="4" w:space="0" w:color="auto"/>
            </w:tcBorders>
            <w:shd w:val="clear" w:color="000000" w:fill="FFFFFF"/>
            <w:noWrap/>
            <w:vAlign w:val="bottom"/>
            <w:hideMark/>
          </w:tcPr>
          <w:p w14:paraId="026F2387" w14:textId="77777777" w:rsidR="00A619D0" w:rsidRPr="003B666E" w:rsidRDefault="00A619D0" w:rsidP="00296A77">
            <w:pPr>
              <w:spacing w:after="0" w:line="240" w:lineRule="auto"/>
              <w:jc w:val="right"/>
              <w:rPr>
                <w:rFonts w:ascii="Calibri" w:eastAsia="Times New Roman" w:hAnsi="Calibri" w:cs="Times New Roman"/>
                <w:b/>
                <w:bCs/>
              </w:rPr>
            </w:pPr>
            <w:r w:rsidRPr="003B666E">
              <w:rPr>
                <w:rFonts w:ascii="Calibri" w:eastAsia="Times New Roman" w:hAnsi="Calibri" w:cs="Times New Roman"/>
                <w:b/>
                <w:bCs/>
              </w:rPr>
              <w:t>2678.57143</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7CB2A3B8" w14:textId="77777777" w:rsidR="00A619D0" w:rsidRPr="003B666E" w:rsidRDefault="00A619D0" w:rsidP="00296A77">
            <w:pPr>
              <w:spacing w:after="0" w:line="240" w:lineRule="auto"/>
              <w:jc w:val="right"/>
              <w:rPr>
                <w:rFonts w:ascii="Calibri" w:eastAsia="Times New Roman" w:hAnsi="Calibri" w:cs="Times New Roman"/>
                <w:b/>
                <w:bCs/>
              </w:rPr>
            </w:pPr>
            <w:r w:rsidRPr="003B666E">
              <w:rPr>
                <w:rFonts w:ascii="Calibri" w:eastAsia="Times New Roman" w:hAnsi="Calibri" w:cs="Times New Roman"/>
                <w:b/>
                <w:bCs/>
              </w:rPr>
              <w:t>198.4127</w:t>
            </w:r>
          </w:p>
        </w:tc>
        <w:tc>
          <w:tcPr>
            <w:tcW w:w="705" w:type="dxa"/>
            <w:tcBorders>
              <w:top w:val="single" w:sz="4" w:space="0" w:color="auto"/>
              <w:left w:val="nil"/>
              <w:bottom w:val="single" w:sz="4" w:space="0" w:color="auto"/>
              <w:right w:val="single" w:sz="4" w:space="0" w:color="auto"/>
            </w:tcBorders>
            <w:shd w:val="clear" w:color="000000" w:fill="FFFF00"/>
            <w:noWrap/>
            <w:vAlign w:val="bottom"/>
            <w:hideMark/>
          </w:tcPr>
          <w:p w14:paraId="6C3FB418" w14:textId="77777777" w:rsidR="00A619D0" w:rsidRPr="003B666E" w:rsidRDefault="00A619D0" w:rsidP="00296A77">
            <w:pPr>
              <w:spacing w:after="0" w:line="240" w:lineRule="auto"/>
              <w:jc w:val="right"/>
              <w:rPr>
                <w:rFonts w:ascii="Calibri" w:eastAsia="Times New Roman" w:hAnsi="Calibri" w:cs="Times New Roman"/>
                <w:b/>
                <w:bCs/>
              </w:rPr>
            </w:pPr>
            <w:r w:rsidRPr="003B666E">
              <w:rPr>
                <w:rFonts w:ascii="Calibri" w:eastAsia="Times New Roman" w:hAnsi="Calibri" w:cs="Times New Roman"/>
                <w:b/>
                <w:bCs/>
              </w:rPr>
              <w:t>-2281.75</w:t>
            </w:r>
          </w:p>
        </w:tc>
        <w:tc>
          <w:tcPr>
            <w:tcW w:w="705" w:type="dxa"/>
            <w:tcBorders>
              <w:top w:val="single" w:sz="4" w:space="0" w:color="auto"/>
              <w:left w:val="nil"/>
              <w:bottom w:val="single" w:sz="4" w:space="0" w:color="auto"/>
              <w:right w:val="single" w:sz="4" w:space="0" w:color="auto"/>
            </w:tcBorders>
            <w:shd w:val="clear" w:color="000000" w:fill="FFFFFF"/>
            <w:noWrap/>
            <w:vAlign w:val="bottom"/>
            <w:hideMark/>
          </w:tcPr>
          <w:p w14:paraId="62ECDD00" w14:textId="77777777" w:rsidR="00A619D0" w:rsidRPr="003B666E" w:rsidRDefault="00A619D0" w:rsidP="00296A77">
            <w:pPr>
              <w:spacing w:after="0" w:line="240" w:lineRule="auto"/>
              <w:jc w:val="right"/>
              <w:rPr>
                <w:rFonts w:ascii="Calibri" w:eastAsia="Times New Roman" w:hAnsi="Calibri" w:cs="Times New Roman"/>
                <w:b/>
                <w:bCs/>
              </w:rPr>
            </w:pPr>
            <w:r w:rsidRPr="003B666E">
              <w:rPr>
                <w:rFonts w:ascii="Calibri" w:eastAsia="Times New Roman" w:hAnsi="Calibri" w:cs="Times New Roman"/>
                <w:b/>
                <w:bCs/>
              </w:rPr>
              <w:t>-4761.9</w:t>
            </w:r>
          </w:p>
        </w:tc>
        <w:tc>
          <w:tcPr>
            <w:tcW w:w="705" w:type="dxa"/>
            <w:tcBorders>
              <w:top w:val="single" w:sz="4" w:space="0" w:color="auto"/>
              <w:left w:val="nil"/>
              <w:bottom w:val="single" w:sz="4" w:space="0" w:color="auto"/>
              <w:right w:val="single" w:sz="4" w:space="0" w:color="auto"/>
            </w:tcBorders>
            <w:shd w:val="clear" w:color="000000" w:fill="FFFFFF"/>
            <w:noWrap/>
            <w:vAlign w:val="bottom"/>
            <w:hideMark/>
          </w:tcPr>
          <w:p w14:paraId="33E73293" w14:textId="77777777" w:rsidR="00A619D0" w:rsidRPr="003B666E" w:rsidRDefault="00A619D0" w:rsidP="00296A77">
            <w:pPr>
              <w:spacing w:after="0" w:line="240" w:lineRule="auto"/>
              <w:jc w:val="right"/>
              <w:rPr>
                <w:rFonts w:ascii="Calibri" w:eastAsia="Times New Roman" w:hAnsi="Calibri" w:cs="Times New Roman"/>
                <w:b/>
                <w:bCs/>
              </w:rPr>
            </w:pPr>
            <w:r w:rsidRPr="003B666E">
              <w:rPr>
                <w:rFonts w:ascii="Calibri" w:eastAsia="Times New Roman" w:hAnsi="Calibri" w:cs="Times New Roman"/>
                <w:b/>
                <w:bCs/>
              </w:rPr>
              <w:t>-7242.06</w:t>
            </w:r>
          </w:p>
        </w:tc>
        <w:tc>
          <w:tcPr>
            <w:tcW w:w="705" w:type="dxa"/>
            <w:tcBorders>
              <w:top w:val="single" w:sz="4" w:space="0" w:color="auto"/>
              <w:left w:val="nil"/>
              <w:bottom w:val="single" w:sz="4" w:space="0" w:color="auto"/>
              <w:right w:val="single" w:sz="4" w:space="0" w:color="auto"/>
            </w:tcBorders>
            <w:shd w:val="clear" w:color="000000" w:fill="FFFFFF"/>
            <w:noWrap/>
            <w:vAlign w:val="bottom"/>
            <w:hideMark/>
          </w:tcPr>
          <w:p w14:paraId="478C089E" w14:textId="77777777" w:rsidR="00A619D0" w:rsidRPr="003B666E" w:rsidRDefault="00A619D0" w:rsidP="00296A77">
            <w:pPr>
              <w:spacing w:after="0" w:line="240" w:lineRule="auto"/>
              <w:jc w:val="right"/>
              <w:rPr>
                <w:rFonts w:ascii="Calibri" w:eastAsia="Times New Roman" w:hAnsi="Calibri" w:cs="Times New Roman"/>
                <w:b/>
                <w:bCs/>
              </w:rPr>
            </w:pPr>
            <w:r w:rsidRPr="003B666E">
              <w:rPr>
                <w:rFonts w:ascii="Calibri" w:eastAsia="Times New Roman" w:hAnsi="Calibri" w:cs="Times New Roman"/>
                <w:b/>
                <w:bCs/>
              </w:rPr>
              <w:t>-9722.22</w:t>
            </w:r>
          </w:p>
        </w:tc>
        <w:tc>
          <w:tcPr>
            <w:tcW w:w="705" w:type="dxa"/>
            <w:tcBorders>
              <w:top w:val="single" w:sz="4" w:space="0" w:color="auto"/>
              <w:left w:val="nil"/>
              <w:bottom w:val="single" w:sz="4" w:space="0" w:color="auto"/>
              <w:right w:val="single" w:sz="4" w:space="0" w:color="auto"/>
            </w:tcBorders>
            <w:shd w:val="clear" w:color="000000" w:fill="FFFFFF"/>
            <w:noWrap/>
            <w:vAlign w:val="bottom"/>
            <w:hideMark/>
          </w:tcPr>
          <w:p w14:paraId="62337FB8" w14:textId="77777777" w:rsidR="00A619D0" w:rsidRPr="003B666E" w:rsidRDefault="00A619D0" w:rsidP="00296A77">
            <w:pPr>
              <w:spacing w:after="0" w:line="240" w:lineRule="auto"/>
              <w:jc w:val="right"/>
              <w:rPr>
                <w:rFonts w:ascii="Calibri" w:eastAsia="Times New Roman" w:hAnsi="Calibri" w:cs="Times New Roman"/>
                <w:b/>
                <w:bCs/>
              </w:rPr>
            </w:pPr>
            <w:r w:rsidRPr="003B666E">
              <w:rPr>
                <w:rFonts w:ascii="Calibri" w:eastAsia="Times New Roman" w:hAnsi="Calibri" w:cs="Times New Roman"/>
                <w:b/>
                <w:bCs/>
              </w:rPr>
              <w:t>-12202.4</w:t>
            </w:r>
          </w:p>
        </w:tc>
        <w:tc>
          <w:tcPr>
            <w:tcW w:w="693" w:type="dxa"/>
            <w:tcBorders>
              <w:top w:val="single" w:sz="4" w:space="0" w:color="auto"/>
              <w:left w:val="nil"/>
              <w:bottom w:val="single" w:sz="4" w:space="0" w:color="auto"/>
              <w:right w:val="single" w:sz="4" w:space="0" w:color="auto"/>
            </w:tcBorders>
            <w:shd w:val="clear" w:color="000000" w:fill="FFFFFF"/>
            <w:noWrap/>
            <w:vAlign w:val="bottom"/>
            <w:hideMark/>
          </w:tcPr>
          <w:p w14:paraId="6CB7AC61" w14:textId="77777777" w:rsidR="00A619D0" w:rsidRPr="003B666E" w:rsidRDefault="00A619D0" w:rsidP="00296A77">
            <w:pPr>
              <w:spacing w:after="0" w:line="240" w:lineRule="auto"/>
              <w:jc w:val="right"/>
              <w:rPr>
                <w:rFonts w:ascii="Calibri" w:eastAsia="Times New Roman" w:hAnsi="Calibri" w:cs="Times New Roman"/>
                <w:b/>
                <w:bCs/>
              </w:rPr>
            </w:pPr>
            <w:r w:rsidRPr="003B666E">
              <w:rPr>
                <w:rFonts w:ascii="Calibri" w:eastAsia="Times New Roman" w:hAnsi="Calibri" w:cs="Times New Roman"/>
                <w:b/>
                <w:bCs/>
              </w:rPr>
              <w:t>-14682.5</w:t>
            </w:r>
          </w:p>
        </w:tc>
      </w:tr>
    </w:tbl>
    <w:p w14:paraId="50F1FC79" w14:textId="77777777" w:rsidR="00A619D0" w:rsidRPr="00A619D0" w:rsidRDefault="00A619D0" w:rsidP="00A619D0">
      <w:pPr>
        <w:spacing w:line="480" w:lineRule="auto"/>
        <w:jc w:val="both"/>
        <w:rPr>
          <w:rFonts w:ascii="Times New Roman" w:hAnsi="Times New Roman" w:cs="Times New Roman"/>
          <w:b/>
          <w:bCs/>
          <w:i/>
          <w:iCs/>
          <w:sz w:val="24"/>
          <w:szCs w:val="24"/>
        </w:rPr>
      </w:pPr>
      <w:r w:rsidRPr="00A619D0">
        <w:rPr>
          <w:rFonts w:ascii="Times New Roman" w:hAnsi="Times New Roman" w:cs="Times New Roman"/>
          <w:b/>
          <w:bCs/>
          <w:i/>
          <w:iCs/>
          <w:sz w:val="24"/>
          <w:szCs w:val="24"/>
        </w:rPr>
        <w:t>Buy back should be recommended for the first four years and then stopped or the shares would lose value thereafter</w:t>
      </w:r>
      <w:r>
        <w:rPr>
          <w:rFonts w:ascii="Times New Roman" w:hAnsi="Times New Roman" w:cs="Times New Roman"/>
          <w:b/>
          <w:bCs/>
          <w:i/>
          <w:iCs/>
          <w:sz w:val="24"/>
          <w:szCs w:val="24"/>
        </w:rPr>
        <w:t>. A negative value of -2281.75 shows no payout was made. It would be better for the company to maintain their initial year perception which yielded constant returns</w:t>
      </w:r>
    </w:p>
    <w:p w14:paraId="52C40A6A" w14:textId="77777777" w:rsidR="00A619D0" w:rsidRPr="005F466D" w:rsidRDefault="00A619D0" w:rsidP="003B666E">
      <w:pPr>
        <w:spacing w:line="480" w:lineRule="auto"/>
        <w:jc w:val="both"/>
        <w:rPr>
          <w:rFonts w:ascii="Times New Roman" w:hAnsi="Times New Roman" w:cs="Times New Roman"/>
          <w:sz w:val="24"/>
          <w:szCs w:val="24"/>
        </w:rPr>
      </w:pPr>
    </w:p>
    <w:sectPr w:rsidR="00A619D0" w:rsidRPr="005F4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6D"/>
    <w:rsid w:val="003B666E"/>
    <w:rsid w:val="005F466D"/>
    <w:rsid w:val="0068293C"/>
    <w:rsid w:val="00A619D0"/>
    <w:rsid w:val="00C84248"/>
    <w:rsid w:val="00D6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4F51"/>
  <w15:chartTrackingRefBased/>
  <w15:docId w15:val="{C3321473-9524-441B-B74E-93838A4F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66E"/>
  </w:style>
  <w:style w:type="paragraph" w:styleId="Heading1">
    <w:name w:val="heading 1"/>
    <w:basedOn w:val="Normal"/>
    <w:next w:val="Normal"/>
    <w:link w:val="Heading1Char"/>
    <w:uiPriority w:val="9"/>
    <w:qFormat/>
    <w:rsid w:val="003B66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66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6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666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398023">
      <w:bodyDiv w:val="1"/>
      <w:marLeft w:val="0"/>
      <w:marRight w:val="0"/>
      <w:marTop w:val="0"/>
      <w:marBottom w:val="0"/>
      <w:divBdr>
        <w:top w:val="none" w:sz="0" w:space="0" w:color="auto"/>
        <w:left w:val="none" w:sz="0" w:space="0" w:color="auto"/>
        <w:bottom w:val="none" w:sz="0" w:space="0" w:color="auto"/>
        <w:right w:val="none" w:sz="0" w:space="0" w:color="auto"/>
      </w:divBdr>
    </w:div>
    <w:div w:id="1075208239">
      <w:bodyDiv w:val="1"/>
      <w:marLeft w:val="0"/>
      <w:marRight w:val="0"/>
      <w:marTop w:val="0"/>
      <w:marBottom w:val="0"/>
      <w:divBdr>
        <w:top w:val="none" w:sz="0" w:space="0" w:color="auto"/>
        <w:left w:val="none" w:sz="0" w:space="0" w:color="auto"/>
        <w:bottom w:val="none" w:sz="0" w:space="0" w:color="auto"/>
        <w:right w:val="none" w:sz="0" w:space="0" w:color="auto"/>
      </w:divBdr>
    </w:div>
    <w:div w:id="1449466284">
      <w:bodyDiv w:val="1"/>
      <w:marLeft w:val="0"/>
      <w:marRight w:val="0"/>
      <w:marTop w:val="0"/>
      <w:marBottom w:val="0"/>
      <w:divBdr>
        <w:top w:val="none" w:sz="0" w:space="0" w:color="auto"/>
        <w:left w:val="none" w:sz="0" w:space="0" w:color="auto"/>
        <w:bottom w:val="none" w:sz="0" w:space="0" w:color="auto"/>
        <w:right w:val="none" w:sz="0" w:space="0" w:color="auto"/>
      </w:divBdr>
    </w:div>
    <w:div w:id="17905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mwendia kinyua</dc:creator>
  <cp:keywords/>
  <dc:description/>
  <cp:lastModifiedBy>mwendia kinyua</cp:lastModifiedBy>
  <cp:revision>1</cp:revision>
  <dcterms:created xsi:type="dcterms:W3CDTF">2021-05-13T00:09:00Z</dcterms:created>
  <dcterms:modified xsi:type="dcterms:W3CDTF">2021-05-13T00:52:00Z</dcterms:modified>
</cp:coreProperties>
</file>